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68ECE" w14:textId="77777777" w:rsidR="001D019B" w:rsidRDefault="001D019B">
      <w:pPr>
        <w:pStyle w:val="tparagraph"/>
        <w:pBdr>
          <w:right w:val="single" w:sz="6" w:space="7" w:color="FFFFFF"/>
        </w:pBdr>
        <w:rPr>
          <w:rFonts w:ascii="Arial" w:hAnsi="Arial" w:cs="Arial"/>
          <w:sz w:val="24"/>
        </w:rPr>
      </w:pPr>
      <w:r>
        <w:rPr>
          <w:rFonts w:ascii="Arial" w:hAnsi="Arial" w:cs="Arial"/>
          <w:sz w:val="24"/>
        </w:rPr>
        <w:t>IN THE SUPREME COURT OF NEW SOUTH WALES No.        of [</w:t>
      </w:r>
      <w:r>
        <w:rPr>
          <w:rFonts w:ascii="Arial" w:hAnsi="Arial" w:cs="Arial"/>
          <w:i/>
          <w:iCs/>
          <w:sz w:val="24"/>
        </w:rPr>
        <w:t>year</w:t>
      </w:r>
      <w:r>
        <w:rPr>
          <w:rFonts w:ascii="Arial" w:hAnsi="Arial" w:cs="Arial"/>
          <w:sz w:val="24"/>
        </w:rPr>
        <w:t xml:space="preserve">] </w:t>
      </w:r>
    </w:p>
    <w:p w14:paraId="11A14ED4" w14:textId="77777777" w:rsidR="001D019B" w:rsidRDefault="001D019B">
      <w:pPr>
        <w:pStyle w:val="tparagraph"/>
        <w:pBdr>
          <w:right w:val="single" w:sz="6" w:space="7" w:color="FFFFFF"/>
        </w:pBdr>
        <w:rPr>
          <w:rFonts w:ascii="Arial" w:hAnsi="Arial" w:cs="Arial"/>
          <w:sz w:val="24"/>
        </w:rPr>
      </w:pPr>
      <w:r>
        <w:rPr>
          <w:rFonts w:ascii="Arial" w:hAnsi="Arial" w:cs="Arial"/>
          <w:sz w:val="24"/>
        </w:rPr>
        <w:t>DIVISION: [</w:t>
      </w:r>
      <w:r>
        <w:rPr>
          <w:rFonts w:ascii="Arial" w:hAnsi="Arial" w:cs="Arial"/>
          <w:i/>
          <w:iCs/>
          <w:sz w:val="24"/>
        </w:rPr>
        <w:t>insert</w:t>
      </w:r>
      <w:r>
        <w:rPr>
          <w:rFonts w:ascii="Arial" w:hAnsi="Arial" w:cs="Arial"/>
          <w:sz w:val="24"/>
        </w:rPr>
        <w:t>]</w:t>
      </w:r>
    </w:p>
    <w:p w14:paraId="7459D442" w14:textId="77777777" w:rsidR="001D019B" w:rsidRDefault="001D019B">
      <w:pPr>
        <w:pStyle w:val="tparagraph"/>
        <w:pBdr>
          <w:right w:val="single" w:sz="6" w:space="7" w:color="FFFFFF"/>
        </w:pBdr>
        <w:rPr>
          <w:rFonts w:ascii="Arial" w:hAnsi="Arial" w:cs="Arial"/>
          <w:sz w:val="24"/>
        </w:rPr>
      </w:pPr>
      <w:r>
        <w:rPr>
          <w:rFonts w:ascii="Arial" w:hAnsi="Arial" w:cs="Arial"/>
          <w:sz w:val="24"/>
        </w:rPr>
        <w:t>REGISTRY: [</w:t>
      </w:r>
      <w:r>
        <w:rPr>
          <w:rFonts w:ascii="Arial" w:hAnsi="Arial" w:cs="Arial"/>
          <w:i/>
          <w:iCs/>
          <w:sz w:val="24"/>
        </w:rPr>
        <w:t>insert</w:t>
      </w:r>
      <w:r>
        <w:rPr>
          <w:rFonts w:ascii="Arial" w:hAnsi="Arial" w:cs="Arial"/>
          <w:sz w:val="24"/>
        </w:rPr>
        <w:t>]</w:t>
      </w:r>
    </w:p>
    <w:p w14:paraId="3530DF7D" w14:textId="77777777" w:rsidR="001D019B" w:rsidRDefault="001D019B">
      <w:pPr>
        <w:pStyle w:val="tparagraph"/>
        <w:pBdr>
          <w:right w:val="single" w:sz="6" w:space="7" w:color="FFFFFF"/>
        </w:pBdr>
        <w:rPr>
          <w:rFonts w:ascii="Arial" w:hAnsi="Arial" w:cs="Arial"/>
          <w:sz w:val="24"/>
        </w:rPr>
      </w:pPr>
      <w:r>
        <w:rPr>
          <w:rFonts w:ascii="Arial" w:hAnsi="Arial" w:cs="Arial"/>
          <w:sz w:val="24"/>
        </w:rPr>
        <w:t>IN THE MATTER OF [</w:t>
      </w:r>
      <w:r>
        <w:rPr>
          <w:rFonts w:ascii="Arial" w:hAnsi="Arial" w:cs="Arial"/>
          <w:i/>
          <w:iCs/>
          <w:sz w:val="24"/>
        </w:rPr>
        <w:t>full name of corporation to which the proceeding relates and, if applicable, the words ‘(in liquidation)’, ‘(receiver appointed)’, ‘(receiver and manager appointed)’, ‘(controller acting)’, or ‘(administrator appointed)’</w:t>
      </w:r>
      <w:r>
        <w:rPr>
          <w:rFonts w:ascii="Arial" w:hAnsi="Arial" w:cs="Arial"/>
          <w:sz w:val="24"/>
        </w:rPr>
        <w:t>]</w:t>
      </w:r>
    </w:p>
    <w:p w14:paraId="2EFA8D76" w14:textId="77777777" w:rsidR="001D019B" w:rsidRDefault="001D019B">
      <w:pPr>
        <w:pStyle w:val="tparagraph"/>
        <w:pBdr>
          <w:right w:val="single" w:sz="6" w:space="7" w:color="FFFFFF"/>
        </w:pBdr>
        <w:rPr>
          <w:rFonts w:ascii="Arial" w:hAnsi="Arial" w:cs="Arial"/>
          <w:sz w:val="24"/>
        </w:rPr>
      </w:pPr>
      <w:r>
        <w:rPr>
          <w:rFonts w:ascii="Arial" w:hAnsi="Arial" w:cs="Arial"/>
          <w:sz w:val="24"/>
        </w:rPr>
        <w:t>ABN or ACN or ARBN: [</w:t>
      </w:r>
      <w:r>
        <w:rPr>
          <w:rFonts w:ascii="Arial" w:hAnsi="Arial" w:cs="Arial"/>
          <w:i/>
          <w:iCs/>
          <w:sz w:val="24"/>
        </w:rPr>
        <w:t>insert ABN or ACN or ARBN</w:t>
      </w:r>
      <w:r>
        <w:rPr>
          <w:rFonts w:ascii="Arial" w:hAnsi="Arial" w:cs="Arial"/>
          <w:sz w:val="24"/>
        </w:rPr>
        <w:t>]</w:t>
      </w:r>
    </w:p>
    <w:p w14:paraId="5D11B38B" w14:textId="77777777" w:rsidR="001D019B" w:rsidRDefault="001D019B">
      <w:pPr>
        <w:pStyle w:val="tparagraph"/>
        <w:pBdr>
          <w:right w:val="single" w:sz="6" w:space="7" w:color="FFFFFF"/>
        </w:pBdr>
        <w:jc w:val="right"/>
        <w:rPr>
          <w:rFonts w:ascii="Arial" w:hAnsi="Arial" w:cs="Arial"/>
          <w:sz w:val="24"/>
        </w:rPr>
      </w:pPr>
      <w:r>
        <w:rPr>
          <w:rFonts w:ascii="Arial" w:hAnsi="Arial" w:cs="Arial"/>
          <w:sz w:val="24"/>
        </w:rPr>
        <w:t>AB (and Others)</w:t>
      </w:r>
    </w:p>
    <w:p w14:paraId="0B21C6DF" w14:textId="77777777" w:rsidR="001D019B" w:rsidRDefault="001D019B">
      <w:pPr>
        <w:pStyle w:val="tparagraph"/>
        <w:pBdr>
          <w:right w:val="single" w:sz="6" w:space="7" w:color="FFFFFF"/>
        </w:pBdr>
        <w:jc w:val="right"/>
        <w:rPr>
          <w:rFonts w:ascii="Arial" w:hAnsi="Arial" w:cs="Arial"/>
          <w:sz w:val="24"/>
        </w:rPr>
      </w:pPr>
      <w:r>
        <w:rPr>
          <w:rFonts w:ascii="Arial" w:hAnsi="Arial" w:cs="Arial"/>
          <w:sz w:val="24"/>
        </w:rPr>
        <w:t>Plaintiff(s)</w:t>
      </w:r>
      <w:r>
        <w:rPr>
          <w:rFonts w:ascii="Arial" w:hAnsi="Arial" w:cs="Arial"/>
          <w:sz w:val="24"/>
        </w:rPr>
        <w:br/>
        <w:t>[</w:t>
      </w:r>
      <w:r>
        <w:rPr>
          <w:rFonts w:ascii="Arial" w:hAnsi="Arial" w:cs="Arial"/>
          <w:i/>
          <w:iCs/>
          <w:sz w:val="24"/>
        </w:rPr>
        <w:t>list, in a schedule, any further plaintiffs</w:t>
      </w:r>
      <w:r>
        <w:rPr>
          <w:rFonts w:ascii="Arial" w:hAnsi="Arial" w:cs="Arial"/>
          <w:sz w:val="24"/>
        </w:rPr>
        <w:t>]</w:t>
      </w:r>
    </w:p>
    <w:p w14:paraId="29D717A7" w14:textId="77777777" w:rsidR="001D019B" w:rsidRDefault="001D019B">
      <w:pPr>
        <w:pStyle w:val="tparagraph"/>
        <w:pBdr>
          <w:right w:val="single" w:sz="6" w:space="7" w:color="FFFFFF"/>
        </w:pBdr>
        <w:jc w:val="right"/>
        <w:rPr>
          <w:rFonts w:ascii="Arial" w:hAnsi="Arial" w:cs="Arial"/>
          <w:sz w:val="24"/>
        </w:rPr>
      </w:pPr>
      <w:r>
        <w:rPr>
          <w:rFonts w:ascii="Arial" w:hAnsi="Arial" w:cs="Arial"/>
          <w:sz w:val="24"/>
        </w:rPr>
        <w:t>CD (and Others)</w:t>
      </w:r>
      <w:r>
        <w:rPr>
          <w:rFonts w:ascii="Arial" w:hAnsi="Arial" w:cs="Arial"/>
          <w:sz w:val="24"/>
        </w:rPr>
        <w:br/>
        <w:t>Defendant(s)</w:t>
      </w:r>
      <w:r>
        <w:rPr>
          <w:rFonts w:ascii="Arial" w:hAnsi="Arial" w:cs="Arial"/>
          <w:sz w:val="24"/>
        </w:rPr>
        <w:br/>
        <w:t>[</w:t>
      </w:r>
      <w:r>
        <w:rPr>
          <w:rFonts w:ascii="Arial" w:hAnsi="Arial" w:cs="Arial"/>
          <w:i/>
          <w:iCs/>
          <w:sz w:val="24"/>
        </w:rPr>
        <w:t>list, in a schedule, any further defendants</w:t>
      </w:r>
      <w:r>
        <w:rPr>
          <w:rFonts w:ascii="Arial" w:hAnsi="Arial" w:cs="Arial"/>
          <w:sz w:val="24"/>
        </w:rPr>
        <w:t>]</w:t>
      </w:r>
    </w:p>
    <w:p w14:paraId="3BB335D0" w14:textId="77777777" w:rsidR="001D019B" w:rsidRDefault="001D019B">
      <w:pPr>
        <w:pStyle w:val="NormalWeb"/>
        <w:pBdr>
          <w:right w:val="single" w:sz="6" w:space="6" w:color="FFFFFF"/>
        </w:pBdr>
        <w:rPr>
          <w:rFonts w:ascii="Arial" w:hAnsi="Arial" w:cs="Arial"/>
          <w:b/>
          <w:bCs/>
        </w:rPr>
      </w:pPr>
    </w:p>
    <w:p w14:paraId="652445BA" w14:textId="77777777" w:rsidR="001D019B" w:rsidRDefault="001D019B">
      <w:pPr>
        <w:pStyle w:val="NormalWeb"/>
        <w:pBdr>
          <w:right w:val="single" w:sz="6" w:space="6" w:color="FFFFFF"/>
        </w:pBdr>
        <w:jc w:val="center"/>
        <w:rPr>
          <w:rFonts w:ascii="Arial" w:hAnsi="Arial" w:cs="Arial"/>
        </w:rPr>
      </w:pPr>
      <w:r>
        <w:rPr>
          <w:rFonts w:ascii="Arial" w:hAnsi="Arial" w:cs="Arial"/>
          <w:b/>
          <w:bCs/>
        </w:rPr>
        <w:t>Originating process</w:t>
      </w:r>
    </w:p>
    <w:p w14:paraId="3B93D041" w14:textId="77777777" w:rsidR="001D019B" w:rsidRDefault="001D019B">
      <w:pPr>
        <w:pStyle w:val="tparagraph"/>
        <w:pBdr>
          <w:right w:val="single" w:sz="6" w:space="6" w:color="FFFFFF"/>
        </w:pBdr>
        <w:rPr>
          <w:rFonts w:ascii="Arial" w:hAnsi="Arial" w:cs="Arial"/>
          <w:b/>
          <w:bCs/>
          <w:sz w:val="24"/>
        </w:rPr>
      </w:pPr>
      <w:r>
        <w:rPr>
          <w:rFonts w:ascii="Arial" w:hAnsi="Arial" w:cs="Arial"/>
          <w:b/>
          <w:bCs/>
          <w:sz w:val="24"/>
        </w:rPr>
        <w:t>A. DETAILS OF APPLICATION</w:t>
      </w:r>
    </w:p>
    <w:p w14:paraId="30A925BB" w14:textId="77777777" w:rsidR="001D019B" w:rsidRDefault="001D019B">
      <w:pPr>
        <w:pStyle w:val="tparagraph"/>
        <w:pBdr>
          <w:right w:val="single" w:sz="6" w:space="6" w:color="FFFFFF"/>
        </w:pBdr>
        <w:rPr>
          <w:rFonts w:ascii="Arial" w:hAnsi="Arial" w:cs="Arial"/>
          <w:sz w:val="24"/>
        </w:rPr>
      </w:pPr>
    </w:p>
    <w:p w14:paraId="641941C9" w14:textId="77777777" w:rsidR="001D019B" w:rsidRDefault="001D019B">
      <w:pPr>
        <w:pStyle w:val="tparagraph"/>
        <w:pBdr>
          <w:right w:val="single" w:sz="6" w:space="6" w:color="FFFFFF"/>
        </w:pBdr>
        <w:rPr>
          <w:rFonts w:ascii="Arial" w:hAnsi="Arial" w:cs="Arial"/>
          <w:sz w:val="24"/>
        </w:rPr>
      </w:pPr>
      <w:r>
        <w:rPr>
          <w:rFonts w:ascii="Arial" w:hAnsi="Arial" w:cs="Arial"/>
          <w:sz w:val="24"/>
        </w:rPr>
        <w:t>This application is made under *section/*regulation [</w:t>
      </w:r>
      <w:r>
        <w:rPr>
          <w:rFonts w:ascii="Arial" w:hAnsi="Arial" w:cs="Arial"/>
          <w:i/>
          <w:iCs/>
          <w:sz w:val="24"/>
        </w:rPr>
        <w:t>number</w:t>
      </w:r>
      <w:r>
        <w:rPr>
          <w:rFonts w:ascii="Arial" w:hAnsi="Arial" w:cs="Arial"/>
          <w:sz w:val="24"/>
        </w:rPr>
        <w:t xml:space="preserve">] of the *Corporations Act/*ASIC Act/*Cross-Border Insolvency Act/*Corporations Regulations. </w:t>
      </w:r>
    </w:p>
    <w:p w14:paraId="37FDA778" w14:textId="77777777" w:rsidR="001D019B" w:rsidRDefault="001D019B">
      <w:pPr>
        <w:pStyle w:val="tparagraph"/>
        <w:pBdr>
          <w:right w:val="single" w:sz="6" w:space="6" w:color="FFFFFF"/>
        </w:pBdr>
        <w:rPr>
          <w:rFonts w:ascii="Arial" w:hAnsi="Arial" w:cs="Arial"/>
          <w:sz w:val="24"/>
        </w:rPr>
      </w:pPr>
      <w:r>
        <w:rPr>
          <w:rFonts w:ascii="Arial" w:hAnsi="Arial" w:cs="Arial"/>
          <w:sz w:val="24"/>
        </w:rPr>
        <w:t>[</w:t>
      </w:r>
      <w:r>
        <w:rPr>
          <w:rFonts w:ascii="Arial" w:hAnsi="Arial" w:cs="Arial"/>
          <w:i/>
          <w:iCs/>
          <w:sz w:val="24"/>
        </w:rPr>
        <w:t>State briefly the nature of the proceeding, eg application for winding-up on ground of insolvency, or complaint about a receiver</w:t>
      </w:r>
      <w:r>
        <w:rPr>
          <w:rFonts w:ascii="Arial" w:hAnsi="Arial" w:cs="Arial"/>
          <w:sz w:val="24"/>
        </w:rPr>
        <w:t>.]</w:t>
      </w:r>
    </w:p>
    <w:p w14:paraId="190E6C34" w14:textId="77777777" w:rsidR="001D019B" w:rsidRDefault="001D019B">
      <w:pPr>
        <w:pStyle w:val="tparagraph"/>
        <w:pBdr>
          <w:right w:val="single" w:sz="6" w:space="6" w:color="FFFFFF"/>
        </w:pBdr>
        <w:rPr>
          <w:rFonts w:ascii="Arial" w:hAnsi="Arial" w:cs="Arial"/>
          <w:sz w:val="24"/>
        </w:rPr>
      </w:pPr>
      <w:r>
        <w:rPr>
          <w:rFonts w:ascii="Arial" w:hAnsi="Arial" w:cs="Arial"/>
          <w:sz w:val="24"/>
        </w:rPr>
        <w:t>On the facts stated in the supporting affidavit(s), the plaintiff claims:</w:t>
      </w:r>
    </w:p>
    <w:p w14:paraId="5959D6EA" w14:textId="77777777" w:rsidR="001D019B" w:rsidRDefault="001D019B">
      <w:pPr>
        <w:pStyle w:val="tparagraph"/>
        <w:pBdr>
          <w:right w:val="single" w:sz="6" w:space="6" w:color="FFFFFF"/>
        </w:pBdr>
        <w:rPr>
          <w:rFonts w:ascii="Arial" w:hAnsi="Arial" w:cs="Arial"/>
          <w:sz w:val="24"/>
        </w:rPr>
      </w:pPr>
      <w:r>
        <w:rPr>
          <w:rFonts w:ascii="Arial" w:hAnsi="Arial" w:cs="Arial"/>
          <w:sz w:val="24"/>
        </w:rPr>
        <w:t>1</w:t>
      </w:r>
    </w:p>
    <w:p w14:paraId="6696A88C" w14:textId="77777777" w:rsidR="001D019B" w:rsidRDefault="001D019B">
      <w:pPr>
        <w:pStyle w:val="tparagraph"/>
        <w:pBdr>
          <w:right w:val="single" w:sz="6" w:space="6" w:color="FFFFFF"/>
        </w:pBdr>
        <w:rPr>
          <w:rFonts w:ascii="Arial" w:hAnsi="Arial" w:cs="Arial"/>
          <w:sz w:val="24"/>
        </w:rPr>
      </w:pPr>
      <w:r>
        <w:rPr>
          <w:rFonts w:ascii="Arial" w:hAnsi="Arial" w:cs="Arial"/>
          <w:sz w:val="24"/>
        </w:rPr>
        <w:t>2</w:t>
      </w:r>
    </w:p>
    <w:p w14:paraId="3CCCDF06" w14:textId="77777777" w:rsidR="001D019B" w:rsidRDefault="001D019B">
      <w:pPr>
        <w:pStyle w:val="tparagraph"/>
        <w:pBdr>
          <w:right w:val="single" w:sz="6" w:space="6" w:color="FFFFFF"/>
        </w:pBdr>
        <w:rPr>
          <w:rFonts w:ascii="Arial" w:hAnsi="Arial" w:cs="Arial"/>
          <w:sz w:val="24"/>
        </w:rPr>
      </w:pPr>
      <w:r>
        <w:rPr>
          <w:rFonts w:ascii="Arial" w:hAnsi="Arial" w:cs="Arial"/>
          <w:sz w:val="24"/>
        </w:rPr>
        <w:t>etc</w:t>
      </w:r>
    </w:p>
    <w:p w14:paraId="1A94ACB1" w14:textId="77777777" w:rsidR="001D019B" w:rsidRDefault="001D019B">
      <w:pPr>
        <w:pStyle w:val="tparagraph"/>
        <w:pBdr>
          <w:right w:val="single" w:sz="6" w:space="6" w:color="FFFFFF"/>
        </w:pBdr>
        <w:rPr>
          <w:rFonts w:ascii="Arial" w:hAnsi="Arial" w:cs="Arial"/>
          <w:sz w:val="24"/>
        </w:rPr>
      </w:pPr>
    </w:p>
    <w:p w14:paraId="54B1CF07" w14:textId="77777777" w:rsidR="001D019B" w:rsidRDefault="001D019B">
      <w:pPr>
        <w:pStyle w:val="tparagraph"/>
        <w:pBdr>
          <w:right w:val="single" w:sz="6" w:space="6" w:color="FFFFFF"/>
        </w:pBdr>
        <w:rPr>
          <w:rFonts w:ascii="Arial" w:hAnsi="Arial" w:cs="Arial"/>
          <w:sz w:val="24"/>
        </w:rPr>
      </w:pPr>
      <w:r>
        <w:rPr>
          <w:rFonts w:ascii="Arial" w:hAnsi="Arial" w:cs="Arial"/>
          <w:sz w:val="24"/>
        </w:rPr>
        <w:t>AND</w:t>
      </w:r>
    </w:p>
    <w:p w14:paraId="44601962" w14:textId="77777777" w:rsidR="001D019B" w:rsidRDefault="001D019B">
      <w:pPr>
        <w:pStyle w:val="tparagraph"/>
        <w:pBdr>
          <w:right w:val="single" w:sz="6" w:space="6" w:color="FFFFFF"/>
        </w:pBdr>
        <w:rPr>
          <w:rFonts w:ascii="Arial" w:hAnsi="Arial" w:cs="Arial"/>
          <w:sz w:val="24"/>
        </w:rPr>
      </w:pPr>
    </w:p>
    <w:p w14:paraId="35BA9646" w14:textId="77777777" w:rsidR="001D019B" w:rsidRDefault="001D019B">
      <w:pPr>
        <w:pStyle w:val="tparagraph"/>
        <w:pBdr>
          <w:right w:val="single" w:sz="6" w:space="6" w:color="FFFFFF"/>
        </w:pBdr>
        <w:rPr>
          <w:rFonts w:ascii="Arial" w:hAnsi="Arial" w:cs="Arial"/>
          <w:sz w:val="24"/>
        </w:rPr>
      </w:pPr>
      <w:r>
        <w:rPr>
          <w:rFonts w:ascii="Arial" w:hAnsi="Arial" w:cs="Arial"/>
          <w:sz w:val="24"/>
        </w:rPr>
        <w:t>Date:</w:t>
      </w:r>
    </w:p>
    <w:p w14:paraId="5223D4D1" w14:textId="77777777" w:rsidR="001D019B" w:rsidRDefault="001D019B">
      <w:pPr>
        <w:pStyle w:val="tparagraph"/>
        <w:pBdr>
          <w:right w:val="single" w:sz="6" w:space="6" w:color="FFFFFF"/>
        </w:pBdr>
        <w:jc w:val="right"/>
        <w:rPr>
          <w:rFonts w:ascii="Arial" w:hAnsi="Arial" w:cs="Arial"/>
          <w:i/>
          <w:iCs/>
          <w:sz w:val="24"/>
        </w:rPr>
      </w:pPr>
      <w:r>
        <w:rPr>
          <w:rFonts w:ascii="Arial" w:hAnsi="Arial" w:cs="Arial"/>
          <w:sz w:val="24"/>
        </w:rPr>
        <w:t>..............................</w:t>
      </w:r>
      <w:r>
        <w:rPr>
          <w:rFonts w:ascii="Arial" w:hAnsi="Arial" w:cs="Arial"/>
          <w:sz w:val="24"/>
        </w:rPr>
        <w:br/>
      </w:r>
      <w:r>
        <w:rPr>
          <w:rFonts w:ascii="Arial" w:hAnsi="Arial" w:cs="Arial"/>
          <w:i/>
          <w:iCs/>
          <w:sz w:val="24"/>
        </w:rPr>
        <w:t>Signature of plaintiff or</w:t>
      </w:r>
      <w:r>
        <w:rPr>
          <w:rFonts w:ascii="Arial" w:hAnsi="Arial" w:cs="Arial"/>
          <w:sz w:val="24"/>
        </w:rPr>
        <w:br/>
      </w:r>
      <w:r>
        <w:rPr>
          <w:rFonts w:ascii="Arial" w:hAnsi="Arial" w:cs="Arial"/>
          <w:i/>
          <w:iCs/>
          <w:sz w:val="24"/>
        </w:rPr>
        <w:t>plaintiff’s legal practitioner</w:t>
      </w:r>
    </w:p>
    <w:p w14:paraId="43A84A84" w14:textId="77777777" w:rsidR="00B07D52" w:rsidRDefault="00B07D52">
      <w:pPr>
        <w:pStyle w:val="tparagraph"/>
        <w:pBdr>
          <w:right w:val="single" w:sz="6" w:space="6" w:color="FFFFFF"/>
        </w:pBdr>
        <w:jc w:val="right"/>
        <w:rPr>
          <w:rFonts w:ascii="Arial" w:hAnsi="Arial" w:cs="Arial"/>
          <w:i/>
          <w:iCs/>
          <w:sz w:val="24"/>
        </w:rPr>
      </w:pPr>
    </w:p>
    <w:p w14:paraId="2A3F75B5" w14:textId="77777777" w:rsidR="00B07D52" w:rsidRDefault="00B07D52">
      <w:pPr>
        <w:pStyle w:val="tparagraph"/>
        <w:pBdr>
          <w:right w:val="single" w:sz="6" w:space="6" w:color="FFFFFF"/>
        </w:pBdr>
        <w:jc w:val="right"/>
        <w:rPr>
          <w:rFonts w:ascii="Arial" w:hAnsi="Arial" w:cs="Arial"/>
          <w:i/>
          <w:iCs/>
          <w:sz w:val="24"/>
        </w:rPr>
      </w:pPr>
      <w:r>
        <w:rPr>
          <w:rFonts w:ascii="Arial" w:hAnsi="Arial" w:cs="Arial"/>
          <w:i/>
          <w:iCs/>
          <w:sz w:val="24"/>
        </w:rPr>
        <w:t>Name of Legal practitioner:</w:t>
      </w:r>
    </w:p>
    <w:p w14:paraId="5F936CBB" w14:textId="77777777" w:rsidR="00B07D52" w:rsidRDefault="00B07D52">
      <w:pPr>
        <w:pStyle w:val="tparagraph"/>
        <w:pBdr>
          <w:right w:val="single" w:sz="6" w:space="6" w:color="FFFFFF"/>
        </w:pBdr>
        <w:jc w:val="right"/>
        <w:rPr>
          <w:rFonts w:ascii="Arial" w:hAnsi="Arial" w:cs="Arial"/>
          <w:i/>
          <w:iCs/>
          <w:sz w:val="24"/>
        </w:rPr>
      </w:pPr>
      <w:r>
        <w:rPr>
          <w:rFonts w:ascii="Arial" w:hAnsi="Arial" w:cs="Arial"/>
          <w:i/>
          <w:iCs/>
          <w:sz w:val="24"/>
        </w:rPr>
        <w:t>PCN:</w:t>
      </w:r>
    </w:p>
    <w:p w14:paraId="35BF22D1" w14:textId="77777777" w:rsidR="00B07D52" w:rsidRDefault="00B07D52">
      <w:pPr>
        <w:pStyle w:val="tparagraph"/>
        <w:pBdr>
          <w:right w:val="single" w:sz="6" w:space="6" w:color="FFFFFF"/>
        </w:pBdr>
        <w:jc w:val="right"/>
        <w:rPr>
          <w:rFonts w:ascii="Arial" w:hAnsi="Arial" w:cs="Arial"/>
          <w:sz w:val="24"/>
        </w:rPr>
      </w:pPr>
      <w:r>
        <w:rPr>
          <w:rFonts w:ascii="Arial" w:hAnsi="Arial" w:cs="Arial"/>
          <w:i/>
          <w:iCs/>
          <w:sz w:val="24"/>
        </w:rPr>
        <w:t>Firm name:</w:t>
      </w:r>
    </w:p>
    <w:p w14:paraId="00A78073" w14:textId="77777777" w:rsidR="001D019B" w:rsidRDefault="001D019B">
      <w:pPr>
        <w:pStyle w:val="tparagraph"/>
        <w:pBdr>
          <w:right w:val="single" w:sz="6" w:space="6" w:color="FFFFFF"/>
        </w:pBdr>
        <w:rPr>
          <w:rFonts w:ascii="Arial" w:hAnsi="Arial" w:cs="Arial"/>
          <w:sz w:val="24"/>
        </w:rPr>
      </w:pPr>
    </w:p>
    <w:p w14:paraId="34F76B0F" w14:textId="77777777" w:rsidR="001D019B" w:rsidRDefault="001D019B">
      <w:pPr>
        <w:pStyle w:val="tparagraph"/>
        <w:pBdr>
          <w:right w:val="single" w:sz="6" w:space="6" w:color="FFFFFF"/>
        </w:pBdr>
        <w:rPr>
          <w:rFonts w:ascii="Arial" w:hAnsi="Arial" w:cs="Arial"/>
          <w:sz w:val="24"/>
        </w:rPr>
      </w:pPr>
      <w:r>
        <w:rPr>
          <w:rFonts w:ascii="Arial" w:hAnsi="Arial" w:cs="Arial"/>
          <w:sz w:val="24"/>
        </w:rPr>
        <w:t>This application will be heard by ........................................ at [</w:t>
      </w:r>
      <w:r>
        <w:rPr>
          <w:rFonts w:ascii="Arial" w:hAnsi="Arial" w:cs="Arial"/>
          <w:i/>
          <w:iCs/>
          <w:sz w:val="24"/>
        </w:rPr>
        <w:t>address of Court</w:t>
      </w:r>
      <w:r>
        <w:rPr>
          <w:rFonts w:ascii="Arial" w:hAnsi="Arial" w:cs="Arial"/>
          <w:sz w:val="24"/>
        </w:rPr>
        <w:t>] at ..........*am/*pm on ..........</w:t>
      </w:r>
    </w:p>
    <w:p w14:paraId="12D2E988" w14:textId="77777777" w:rsidR="001D019B" w:rsidRDefault="001D019B">
      <w:pPr>
        <w:pStyle w:val="hfloat"/>
        <w:pBdr>
          <w:right w:val="single" w:sz="6" w:space="6" w:color="FFFFFF"/>
        </w:pBdr>
        <w:rPr>
          <w:b/>
          <w:bCs/>
          <w:sz w:val="24"/>
        </w:rPr>
      </w:pPr>
    </w:p>
    <w:p w14:paraId="4055C589" w14:textId="77777777" w:rsidR="001D019B" w:rsidRDefault="001D019B">
      <w:pPr>
        <w:pStyle w:val="hfloat"/>
        <w:pBdr>
          <w:right w:val="single" w:sz="6" w:space="6" w:color="FFFFFF"/>
        </w:pBdr>
        <w:rPr>
          <w:sz w:val="24"/>
        </w:rPr>
      </w:pPr>
      <w:r>
        <w:rPr>
          <w:b/>
          <w:bCs/>
          <w:sz w:val="24"/>
        </w:rPr>
        <w:t>B. NOTICE TO DEFENDANT(S) (IF ANY)</w:t>
      </w:r>
    </w:p>
    <w:p w14:paraId="3587E0AA" w14:textId="77777777" w:rsidR="001D019B" w:rsidRDefault="001D019B">
      <w:pPr>
        <w:pStyle w:val="tparagraph"/>
        <w:pBdr>
          <w:right w:val="single" w:sz="6" w:space="6" w:color="FFFFFF"/>
        </w:pBdr>
        <w:rPr>
          <w:rFonts w:ascii="Arial" w:hAnsi="Arial" w:cs="Arial"/>
          <w:sz w:val="24"/>
        </w:rPr>
      </w:pPr>
      <w:r>
        <w:rPr>
          <w:rFonts w:ascii="Arial" w:hAnsi="Arial" w:cs="Arial"/>
          <w:sz w:val="24"/>
        </w:rPr>
        <w:t>TO: [</w:t>
      </w:r>
      <w:r>
        <w:rPr>
          <w:rFonts w:ascii="Arial" w:hAnsi="Arial" w:cs="Arial"/>
          <w:i/>
          <w:iCs/>
          <w:sz w:val="24"/>
        </w:rPr>
        <w:t>name and address of each defendant (if any</w:t>
      </w:r>
      <w:r>
        <w:rPr>
          <w:rFonts w:ascii="Arial" w:hAnsi="Arial" w:cs="Arial"/>
          <w:sz w:val="24"/>
        </w:rPr>
        <w:t xml:space="preserve">)]. </w:t>
      </w:r>
    </w:p>
    <w:p w14:paraId="38C2AB48" w14:textId="77777777" w:rsidR="001D019B" w:rsidRDefault="001D019B">
      <w:pPr>
        <w:pStyle w:val="tparagraph"/>
        <w:pBdr>
          <w:right w:val="single" w:sz="6" w:space="6" w:color="FFFFFF"/>
        </w:pBdr>
        <w:rPr>
          <w:rFonts w:ascii="Arial" w:hAnsi="Arial" w:cs="Arial"/>
          <w:sz w:val="24"/>
        </w:rPr>
      </w:pPr>
      <w:r>
        <w:rPr>
          <w:rFonts w:ascii="Arial" w:hAnsi="Arial" w:cs="Arial"/>
          <w:sz w:val="24"/>
        </w:rPr>
        <w:t>I</w:t>
      </w:r>
    </w:p>
    <w:p w14:paraId="1F31B49D" w14:textId="77777777" w:rsidR="001D019B" w:rsidRDefault="001D019B">
      <w:pPr>
        <w:pStyle w:val="tparagraph"/>
        <w:pBdr>
          <w:right w:val="single" w:sz="6" w:space="6" w:color="FFFFFF"/>
        </w:pBdr>
        <w:rPr>
          <w:rFonts w:ascii="Arial" w:hAnsi="Arial" w:cs="Arial"/>
          <w:sz w:val="24"/>
        </w:rPr>
      </w:pPr>
      <w:r>
        <w:rPr>
          <w:rFonts w:ascii="Arial" w:hAnsi="Arial" w:cs="Arial"/>
          <w:sz w:val="24"/>
        </w:rPr>
        <w:t xml:space="preserve">f you or your legal practitioner do not appear before the Court at the time shown above, the application may be dealt with, and an order made, in your absence. As </w:t>
      </w:r>
      <w:r>
        <w:rPr>
          <w:rFonts w:ascii="Arial" w:hAnsi="Arial" w:cs="Arial"/>
          <w:sz w:val="24"/>
        </w:rPr>
        <w:lastRenderedPageBreak/>
        <w:t xml:space="preserve">soon after that time as the business of the Court will allow, any of the following may happen: </w:t>
      </w:r>
    </w:p>
    <w:p w14:paraId="50EA9B23" w14:textId="77777777" w:rsidR="001D019B" w:rsidRDefault="001D019B">
      <w:pPr>
        <w:pBdr>
          <w:right w:val="single" w:sz="6" w:space="6" w:color="FFFFFF"/>
        </w:pBdr>
        <w:spacing w:after="200"/>
        <w:ind w:left="340" w:hanging="340"/>
        <w:rPr>
          <w:rFonts w:cs="Arial"/>
          <w:szCs w:val="20"/>
        </w:rPr>
      </w:pPr>
    </w:p>
    <w:p w14:paraId="534E7F15" w14:textId="77777777" w:rsidR="001D019B" w:rsidRDefault="001D019B">
      <w:pPr>
        <w:pBdr>
          <w:right w:val="single" w:sz="6" w:space="6" w:color="FFFFFF"/>
        </w:pBdr>
        <w:spacing w:after="200"/>
        <w:ind w:left="340" w:hanging="340"/>
        <w:rPr>
          <w:rFonts w:cs="Arial"/>
          <w:szCs w:val="20"/>
        </w:rPr>
      </w:pPr>
      <w:r>
        <w:rPr>
          <w:rFonts w:cs="Arial"/>
          <w:szCs w:val="20"/>
        </w:rPr>
        <w:t>(a)  the application may be heard and final relief given,</w:t>
      </w:r>
    </w:p>
    <w:p w14:paraId="056E1BA7" w14:textId="77777777" w:rsidR="001D019B" w:rsidRDefault="001D019B">
      <w:pPr>
        <w:pBdr>
          <w:right w:val="single" w:sz="6" w:space="6" w:color="FFFFFF"/>
        </w:pBdr>
        <w:spacing w:after="200"/>
        <w:ind w:left="340" w:hanging="340"/>
        <w:rPr>
          <w:rFonts w:cs="Arial"/>
          <w:szCs w:val="20"/>
        </w:rPr>
      </w:pPr>
      <w:r>
        <w:rPr>
          <w:rFonts w:cs="Arial"/>
          <w:szCs w:val="20"/>
        </w:rPr>
        <w:t>(b)  directions may be given for the future conduct of the proceeding,</w:t>
      </w:r>
    </w:p>
    <w:p w14:paraId="6C279308" w14:textId="77777777" w:rsidR="001D019B" w:rsidRDefault="001D019B">
      <w:pPr>
        <w:pBdr>
          <w:right w:val="single" w:sz="6" w:space="6" w:color="FFFFFF"/>
        </w:pBdr>
        <w:spacing w:after="200"/>
        <w:ind w:left="340" w:hanging="340"/>
        <w:rPr>
          <w:rFonts w:cs="Arial"/>
          <w:szCs w:val="20"/>
        </w:rPr>
      </w:pPr>
      <w:r>
        <w:rPr>
          <w:rFonts w:cs="Arial"/>
          <w:szCs w:val="20"/>
        </w:rPr>
        <w:t>(c)  any interlocutory application may be heard.</w:t>
      </w:r>
    </w:p>
    <w:p w14:paraId="4540910B" w14:textId="77777777" w:rsidR="001D019B" w:rsidRDefault="001D019B">
      <w:pPr>
        <w:pStyle w:val="tparagraph"/>
        <w:pBdr>
          <w:right w:val="single" w:sz="6" w:space="6" w:color="FFFFFF"/>
        </w:pBdr>
        <w:rPr>
          <w:rFonts w:ascii="Arial" w:hAnsi="Arial" w:cs="Arial"/>
          <w:sz w:val="24"/>
        </w:rPr>
      </w:pPr>
      <w:r>
        <w:rPr>
          <w:rFonts w:ascii="Arial" w:hAnsi="Arial" w:cs="Arial"/>
          <w:sz w:val="24"/>
        </w:rPr>
        <w:t>Before appearing before the Court, you must file a notice of appearance, in the prescribed form, in the Registry and serve a copy of it on the plaintiff.</w:t>
      </w:r>
    </w:p>
    <w:p w14:paraId="590925A4" w14:textId="77777777" w:rsidR="001D019B" w:rsidRDefault="001D019B">
      <w:pPr>
        <w:pBdr>
          <w:right w:val="single" w:sz="6" w:space="6" w:color="FFFFFF"/>
        </w:pBdr>
        <w:spacing w:before="160" w:after="200"/>
        <w:ind w:left="340"/>
        <w:rPr>
          <w:rFonts w:cs="Arial"/>
          <w:szCs w:val="20"/>
        </w:rPr>
      </w:pPr>
      <w:r>
        <w:rPr>
          <w:rFonts w:cs="Arial"/>
          <w:b/>
          <w:bCs/>
          <w:szCs w:val="20"/>
        </w:rPr>
        <w:t>Note.</w:t>
      </w:r>
    </w:p>
    <w:p w14:paraId="4EF5EBD4" w14:textId="77777777" w:rsidR="001D019B" w:rsidRDefault="001D019B">
      <w:pPr>
        <w:pStyle w:val="note"/>
        <w:pBdr>
          <w:right w:val="single" w:sz="6" w:space="6" w:color="FFFFFF"/>
        </w:pBdr>
        <w:rPr>
          <w:sz w:val="24"/>
        </w:rPr>
      </w:pPr>
      <w:r>
        <w:rPr>
          <w:sz w:val="24"/>
        </w:rPr>
        <w:t>Unless the Court otherwise orders, a defendant that is a corporation must be represented at a hearing by a legal practitioner. It may be represented at a hearing by a director of the corporation only if the Court grants leave.</w:t>
      </w:r>
    </w:p>
    <w:p w14:paraId="4B650965" w14:textId="77777777" w:rsidR="001D019B" w:rsidRDefault="001D019B">
      <w:pPr>
        <w:pStyle w:val="hfloat"/>
        <w:pBdr>
          <w:right w:val="single" w:sz="6" w:space="6" w:color="FFFFFF"/>
        </w:pBdr>
        <w:rPr>
          <w:b/>
          <w:bCs/>
          <w:sz w:val="24"/>
        </w:rPr>
      </w:pPr>
    </w:p>
    <w:p w14:paraId="7E263850" w14:textId="77777777" w:rsidR="001D019B" w:rsidRDefault="001D019B">
      <w:pPr>
        <w:pStyle w:val="hfloat"/>
        <w:pBdr>
          <w:right w:val="single" w:sz="6" w:space="6" w:color="FFFFFF"/>
        </w:pBdr>
        <w:rPr>
          <w:b/>
          <w:bCs/>
          <w:sz w:val="24"/>
        </w:rPr>
      </w:pPr>
    </w:p>
    <w:p w14:paraId="1B4B3FFD" w14:textId="77777777" w:rsidR="001D019B" w:rsidRDefault="001D019B">
      <w:pPr>
        <w:pStyle w:val="hfloat"/>
        <w:pBdr>
          <w:right w:val="single" w:sz="6" w:space="6" w:color="FFFFFF"/>
        </w:pBdr>
        <w:rPr>
          <w:sz w:val="24"/>
        </w:rPr>
      </w:pPr>
      <w:r>
        <w:rPr>
          <w:b/>
          <w:bCs/>
          <w:sz w:val="24"/>
        </w:rPr>
        <w:t>C. APPLICATION FOR WINDING UP ON GROUND OF INSOLVENCY</w:t>
      </w:r>
    </w:p>
    <w:p w14:paraId="30E2882E" w14:textId="77777777" w:rsidR="001D019B" w:rsidRDefault="001D019B">
      <w:pPr>
        <w:pStyle w:val="tparagraph"/>
        <w:pBdr>
          <w:right w:val="single" w:sz="6" w:space="6" w:color="FFFFFF"/>
        </w:pBdr>
        <w:rPr>
          <w:rFonts w:ascii="Arial" w:hAnsi="Arial" w:cs="Arial"/>
          <w:sz w:val="24"/>
        </w:rPr>
      </w:pPr>
      <w:r>
        <w:rPr>
          <w:rFonts w:ascii="Arial" w:hAnsi="Arial" w:cs="Arial"/>
          <w:sz w:val="24"/>
        </w:rPr>
        <w:t>[</w:t>
      </w:r>
      <w:r>
        <w:rPr>
          <w:rFonts w:ascii="Arial" w:hAnsi="Arial" w:cs="Arial"/>
          <w:b/>
          <w:bCs/>
          <w:i/>
          <w:iCs/>
          <w:sz w:val="24"/>
        </w:rPr>
        <w:t>Complete this section if this originating process is seeking an order that a company be wound up in insolvency on the ground that the company has failed to comply with a statutory demand (see section 459Q of the Corporations Act)</w:t>
      </w:r>
      <w:r>
        <w:rPr>
          <w:rFonts w:ascii="Arial" w:hAnsi="Arial" w:cs="Arial"/>
          <w:sz w:val="24"/>
        </w:rPr>
        <w:t xml:space="preserve">] </w:t>
      </w:r>
    </w:p>
    <w:p w14:paraId="7D8F1A2F" w14:textId="77777777" w:rsidR="001D019B" w:rsidRDefault="001D019B">
      <w:pPr>
        <w:pStyle w:val="tparagraph"/>
        <w:pBdr>
          <w:right w:val="single" w:sz="6" w:space="6" w:color="FFFFFF"/>
        </w:pBdr>
        <w:rPr>
          <w:rFonts w:ascii="Arial" w:hAnsi="Arial" w:cs="Arial"/>
          <w:sz w:val="24"/>
        </w:rPr>
      </w:pPr>
    </w:p>
    <w:p w14:paraId="75EC763B" w14:textId="77777777" w:rsidR="001D019B" w:rsidRDefault="001D019B">
      <w:pPr>
        <w:pStyle w:val="tparagraph"/>
        <w:pBdr>
          <w:right w:val="single" w:sz="6" w:space="6" w:color="FFFFFF"/>
        </w:pBdr>
        <w:rPr>
          <w:rFonts w:ascii="Arial" w:hAnsi="Arial" w:cs="Arial"/>
          <w:sz w:val="24"/>
        </w:rPr>
      </w:pPr>
      <w:r>
        <w:rPr>
          <w:rFonts w:ascii="Arial" w:hAnsi="Arial" w:cs="Arial"/>
          <w:sz w:val="24"/>
        </w:rPr>
        <w:t>[</w:t>
      </w:r>
      <w:r>
        <w:rPr>
          <w:rFonts w:ascii="Arial" w:hAnsi="Arial" w:cs="Arial"/>
          <w:i/>
          <w:iCs/>
          <w:sz w:val="24"/>
        </w:rPr>
        <w:t>Set out particulars of service of the statutory demand on the company and of the failure to comply with the demand</w:t>
      </w:r>
      <w:r>
        <w:rPr>
          <w:rFonts w:ascii="Arial" w:hAnsi="Arial" w:cs="Arial"/>
          <w:sz w:val="24"/>
        </w:rPr>
        <w:t>]</w:t>
      </w:r>
    </w:p>
    <w:p w14:paraId="0B80AAB3" w14:textId="77777777" w:rsidR="001D019B" w:rsidRDefault="001D019B">
      <w:pPr>
        <w:pStyle w:val="tparagraph"/>
        <w:pBdr>
          <w:right w:val="single" w:sz="6" w:space="6" w:color="FFFFFF"/>
        </w:pBdr>
        <w:rPr>
          <w:rFonts w:ascii="Arial" w:hAnsi="Arial" w:cs="Arial"/>
          <w:sz w:val="24"/>
        </w:rPr>
      </w:pPr>
    </w:p>
    <w:p w14:paraId="622152D7" w14:textId="77777777" w:rsidR="001D019B" w:rsidRDefault="001D019B">
      <w:pPr>
        <w:pStyle w:val="tparagraph"/>
        <w:pBdr>
          <w:right w:val="single" w:sz="6" w:space="6" w:color="FFFFFF"/>
        </w:pBdr>
        <w:rPr>
          <w:rFonts w:ascii="Arial" w:hAnsi="Arial" w:cs="Arial"/>
          <w:sz w:val="24"/>
        </w:rPr>
      </w:pPr>
      <w:r>
        <w:rPr>
          <w:rFonts w:ascii="Arial" w:hAnsi="Arial" w:cs="Arial"/>
          <w:sz w:val="24"/>
        </w:rPr>
        <w:t>[</w:t>
      </w:r>
      <w:r>
        <w:rPr>
          <w:rFonts w:ascii="Arial" w:hAnsi="Arial" w:cs="Arial"/>
          <w:b/>
          <w:bCs/>
          <w:i/>
          <w:iCs/>
          <w:sz w:val="24"/>
        </w:rPr>
        <w:t>Attach to this originating process a copy of the statutory demand and, if the demand has been varied by an order made under subsection 459H (4) of the Corporations Act because of a dispute or offsetting claim, a copy of the order made under that subsection.</w:t>
      </w:r>
      <w:r>
        <w:rPr>
          <w:rFonts w:ascii="Arial" w:hAnsi="Arial" w:cs="Arial"/>
          <w:sz w:val="24"/>
        </w:rPr>
        <w:t>]</w:t>
      </w:r>
    </w:p>
    <w:p w14:paraId="3373FCB0" w14:textId="77777777" w:rsidR="001D019B" w:rsidRDefault="001D019B">
      <w:pPr>
        <w:pStyle w:val="tparagraph"/>
        <w:pBdr>
          <w:right w:val="single" w:sz="6" w:space="6" w:color="FFFFFF"/>
        </w:pBdr>
        <w:rPr>
          <w:rFonts w:ascii="Arial" w:hAnsi="Arial" w:cs="Arial"/>
          <w:sz w:val="24"/>
        </w:rPr>
      </w:pPr>
    </w:p>
    <w:p w14:paraId="03B1CC13" w14:textId="77777777" w:rsidR="001D019B" w:rsidRDefault="001D019B">
      <w:pPr>
        <w:pStyle w:val="tparagraph"/>
        <w:pBdr>
          <w:right w:val="single" w:sz="6" w:space="6" w:color="FFFFFF"/>
        </w:pBdr>
        <w:rPr>
          <w:rFonts w:ascii="Arial" w:hAnsi="Arial" w:cs="Arial"/>
          <w:sz w:val="24"/>
        </w:rPr>
      </w:pPr>
      <w:r>
        <w:rPr>
          <w:rFonts w:ascii="Arial" w:hAnsi="Arial" w:cs="Arial"/>
          <w:sz w:val="24"/>
        </w:rPr>
        <w:t>[</w:t>
      </w:r>
      <w:r>
        <w:rPr>
          <w:rFonts w:ascii="Arial" w:hAnsi="Arial" w:cs="Arial"/>
          <w:b/>
          <w:bCs/>
          <w:i/>
          <w:iCs/>
          <w:sz w:val="24"/>
        </w:rPr>
        <w:t>The affidavit in support of this originating process must:</w:t>
      </w:r>
      <w:r>
        <w:rPr>
          <w:rFonts w:ascii="Arial" w:hAnsi="Arial" w:cs="Arial"/>
          <w:sz w:val="24"/>
        </w:rPr>
        <w:t xml:space="preserve"> </w:t>
      </w:r>
    </w:p>
    <w:p w14:paraId="56EEAA1A" w14:textId="77777777" w:rsidR="001D019B" w:rsidRDefault="001D019B">
      <w:pPr>
        <w:pStyle w:val="tparagraph"/>
        <w:pBdr>
          <w:right w:val="single" w:sz="6" w:space="6" w:color="FFFFFF"/>
        </w:pBdr>
        <w:rPr>
          <w:rFonts w:ascii="Arial" w:hAnsi="Arial" w:cs="Arial"/>
          <w:sz w:val="24"/>
        </w:rPr>
      </w:pPr>
    </w:p>
    <w:p w14:paraId="1D007FF0" w14:textId="77777777" w:rsidR="001D019B" w:rsidRDefault="001D019B">
      <w:pPr>
        <w:pBdr>
          <w:right w:val="single" w:sz="6" w:space="6" w:color="FFFFFF"/>
        </w:pBdr>
        <w:spacing w:after="200"/>
        <w:ind w:left="340" w:hanging="340"/>
        <w:rPr>
          <w:rFonts w:cs="Arial"/>
          <w:szCs w:val="20"/>
        </w:rPr>
      </w:pPr>
      <w:r>
        <w:rPr>
          <w:rFonts w:cs="Arial"/>
          <w:b/>
          <w:bCs/>
          <w:i/>
          <w:iCs/>
          <w:szCs w:val="20"/>
        </w:rPr>
        <w:t>(a)  verify service of the demand on the company; and</w:t>
      </w:r>
    </w:p>
    <w:p w14:paraId="3738E185" w14:textId="77777777" w:rsidR="001D019B" w:rsidRDefault="001D019B">
      <w:pPr>
        <w:pBdr>
          <w:right w:val="single" w:sz="6" w:space="6" w:color="FFFFFF"/>
        </w:pBdr>
        <w:spacing w:after="200"/>
        <w:ind w:left="340" w:hanging="340"/>
        <w:rPr>
          <w:rFonts w:cs="Arial"/>
          <w:szCs w:val="20"/>
        </w:rPr>
      </w:pPr>
      <w:r>
        <w:rPr>
          <w:rFonts w:cs="Arial"/>
          <w:b/>
          <w:bCs/>
          <w:i/>
          <w:iCs/>
          <w:szCs w:val="20"/>
        </w:rPr>
        <w:t>(b  verify the failure of the company to comply with the demand; and</w:t>
      </w:r>
    </w:p>
    <w:p w14:paraId="1C308229" w14:textId="77777777" w:rsidR="001D019B" w:rsidRDefault="001D019B">
      <w:pPr>
        <w:pBdr>
          <w:right w:val="single" w:sz="6" w:space="6" w:color="FFFFFF"/>
        </w:pBdr>
        <w:spacing w:after="200"/>
        <w:ind w:left="340" w:hanging="340"/>
        <w:rPr>
          <w:rFonts w:cs="Arial"/>
          <w:szCs w:val="20"/>
        </w:rPr>
      </w:pPr>
      <w:r>
        <w:rPr>
          <w:rFonts w:cs="Arial"/>
          <w:b/>
          <w:bCs/>
          <w:i/>
          <w:iCs/>
          <w:szCs w:val="20"/>
        </w:rPr>
        <w:t xml:space="preserve">(c) </w:t>
      </w:r>
      <w:r>
        <w:rPr>
          <w:rFonts w:cs="Arial"/>
          <w:szCs w:val="20"/>
        </w:rPr>
        <w:t xml:space="preserve"> </w:t>
      </w:r>
      <w:r>
        <w:rPr>
          <w:rFonts w:cs="Arial"/>
          <w:b/>
          <w:bCs/>
          <w:i/>
          <w:iCs/>
          <w:szCs w:val="20"/>
        </w:rPr>
        <w:t>state whether and, if so, to what extent the debt, or each of the debts, to which the demand relates is still due and payable at the date when the affidavit is made.</w:t>
      </w:r>
      <w:r>
        <w:rPr>
          <w:rFonts w:cs="Arial"/>
          <w:szCs w:val="20"/>
        </w:rPr>
        <w:t>]</w:t>
      </w:r>
    </w:p>
    <w:p w14:paraId="0BFE2661" w14:textId="77777777" w:rsidR="001D019B" w:rsidRDefault="001D019B">
      <w:pPr>
        <w:pBdr>
          <w:right w:val="single" w:sz="6" w:space="6" w:color="FFFFFF"/>
        </w:pBdr>
        <w:spacing w:before="160" w:after="200"/>
        <w:ind w:left="340"/>
        <w:rPr>
          <w:rFonts w:cs="Arial"/>
          <w:szCs w:val="20"/>
        </w:rPr>
      </w:pPr>
      <w:r>
        <w:rPr>
          <w:rFonts w:cs="Arial"/>
          <w:b/>
          <w:bCs/>
          <w:szCs w:val="20"/>
        </w:rPr>
        <w:t>Note 1.</w:t>
      </w:r>
    </w:p>
    <w:p w14:paraId="301315A8" w14:textId="77777777" w:rsidR="001D019B" w:rsidRDefault="001D019B">
      <w:pPr>
        <w:pStyle w:val="note"/>
        <w:pBdr>
          <w:right w:val="single" w:sz="6" w:space="6" w:color="FFFFFF"/>
        </w:pBdr>
        <w:ind w:left="340"/>
        <w:rPr>
          <w:sz w:val="24"/>
        </w:rPr>
      </w:pPr>
      <w:r>
        <w:rPr>
          <w:sz w:val="24"/>
        </w:rPr>
        <w:t>In an application for winding up in insolvency on the ground that the company has failed to comply with a statutory demand, the applicant should consider completing Part C of Form 2 as shown in Schedule 2 (Notes to these Rules).</w:t>
      </w:r>
    </w:p>
    <w:p w14:paraId="67328D45" w14:textId="77777777" w:rsidR="001D019B" w:rsidRDefault="001D019B">
      <w:pPr>
        <w:pBdr>
          <w:right w:val="single" w:sz="6" w:space="6" w:color="FFFFFF"/>
        </w:pBdr>
        <w:spacing w:before="160" w:after="200"/>
        <w:ind w:left="340"/>
        <w:rPr>
          <w:rFonts w:cs="Arial"/>
          <w:szCs w:val="20"/>
        </w:rPr>
      </w:pPr>
      <w:r>
        <w:rPr>
          <w:rFonts w:cs="Arial"/>
          <w:b/>
          <w:bCs/>
          <w:szCs w:val="20"/>
        </w:rPr>
        <w:lastRenderedPageBreak/>
        <w:t>Note 2.</w:t>
      </w:r>
    </w:p>
    <w:p w14:paraId="19627599" w14:textId="77777777" w:rsidR="001D019B" w:rsidRDefault="001D019B">
      <w:pPr>
        <w:pStyle w:val="note"/>
        <w:pBdr>
          <w:right w:val="single" w:sz="6" w:space="6" w:color="FFFFFF"/>
        </w:pBdr>
        <w:ind w:left="340"/>
        <w:rPr>
          <w:sz w:val="24"/>
        </w:rPr>
      </w:pPr>
      <w:r>
        <w:rPr>
          <w:sz w:val="24"/>
        </w:rPr>
        <w:t>An example of the affidavit in support of an application for winding up in insolvency for failure to comply with a statutory demand is shown in Schedule 2 (Notes to these Rules).</w:t>
      </w:r>
    </w:p>
    <w:p w14:paraId="714626C7" w14:textId="77777777" w:rsidR="001D019B" w:rsidRDefault="001D019B">
      <w:pPr>
        <w:pStyle w:val="hfloat"/>
        <w:pBdr>
          <w:right w:val="single" w:sz="6" w:space="6" w:color="FFFFFF"/>
        </w:pBdr>
        <w:rPr>
          <w:b/>
          <w:bCs/>
          <w:sz w:val="24"/>
        </w:rPr>
      </w:pPr>
    </w:p>
    <w:p w14:paraId="2B4A82FA" w14:textId="77777777" w:rsidR="001D019B" w:rsidRDefault="001D019B">
      <w:pPr>
        <w:pStyle w:val="hfloat"/>
        <w:pBdr>
          <w:right w:val="single" w:sz="6" w:space="6" w:color="FFFFFF"/>
        </w:pBdr>
        <w:spacing w:after="0"/>
        <w:rPr>
          <w:sz w:val="24"/>
        </w:rPr>
      </w:pPr>
      <w:r>
        <w:rPr>
          <w:b/>
          <w:bCs/>
          <w:sz w:val="24"/>
        </w:rPr>
        <w:t>D. FILING</w:t>
      </w:r>
    </w:p>
    <w:p w14:paraId="648F6CD6" w14:textId="77777777" w:rsidR="001D019B" w:rsidRDefault="001D019B">
      <w:pPr>
        <w:pStyle w:val="tparagraph"/>
        <w:pBdr>
          <w:right w:val="single" w:sz="6" w:space="6" w:color="FFFFFF"/>
        </w:pBdr>
        <w:rPr>
          <w:rFonts w:ascii="Arial" w:hAnsi="Arial" w:cs="Arial"/>
          <w:sz w:val="24"/>
        </w:rPr>
      </w:pPr>
      <w:r>
        <w:rPr>
          <w:rFonts w:ascii="Arial" w:hAnsi="Arial" w:cs="Arial"/>
          <w:sz w:val="24"/>
        </w:rPr>
        <w:t>Date of filing: [</w:t>
      </w:r>
      <w:r>
        <w:rPr>
          <w:rFonts w:ascii="Arial" w:hAnsi="Arial" w:cs="Arial"/>
          <w:i/>
          <w:iCs/>
          <w:sz w:val="24"/>
        </w:rPr>
        <w:t>date of filing to be entered by Court officer]</w:t>
      </w:r>
      <w:r>
        <w:rPr>
          <w:rFonts w:ascii="Arial" w:hAnsi="Arial" w:cs="Arial"/>
          <w:sz w:val="24"/>
        </w:rPr>
        <w:t xml:space="preserve">] </w:t>
      </w:r>
    </w:p>
    <w:p w14:paraId="6D4F3A89" w14:textId="77777777" w:rsidR="001D019B" w:rsidRDefault="001D019B">
      <w:pPr>
        <w:pStyle w:val="tparagraph"/>
        <w:pBdr>
          <w:right w:val="single" w:sz="6" w:space="6" w:color="FFFFFF"/>
        </w:pBdr>
        <w:rPr>
          <w:rFonts w:ascii="Arial" w:hAnsi="Arial" w:cs="Arial"/>
          <w:sz w:val="24"/>
        </w:rPr>
      </w:pPr>
      <w:r>
        <w:rPr>
          <w:rFonts w:ascii="Arial" w:hAnsi="Arial" w:cs="Arial"/>
          <w:sz w:val="24"/>
        </w:rPr>
        <w:t>This originating process is filed by [</w:t>
      </w:r>
      <w:r>
        <w:rPr>
          <w:rFonts w:ascii="Arial" w:hAnsi="Arial" w:cs="Arial"/>
          <w:i/>
          <w:iCs/>
          <w:sz w:val="24"/>
        </w:rPr>
        <w:t>name</w:t>
      </w:r>
      <w:r>
        <w:rPr>
          <w:rFonts w:ascii="Arial" w:hAnsi="Arial" w:cs="Arial"/>
          <w:sz w:val="24"/>
        </w:rPr>
        <w:t>] for the plaintiff.</w:t>
      </w:r>
    </w:p>
    <w:p w14:paraId="13859016" w14:textId="77777777" w:rsidR="001D019B" w:rsidRDefault="001D019B">
      <w:pPr>
        <w:pStyle w:val="hfloat"/>
        <w:pBdr>
          <w:right w:val="single" w:sz="6" w:space="6" w:color="FFFFFF"/>
        </w:pBdr>
        <w:rPr>
          <w:b/>
          <w:bCs/>
          <w:sz w:val="24"/>
        </w:rPr>
      </w:pPr>
    </w:p>
    <w:p w14:paraId="05F54847" w14:textId="77777777" w:rsidR="001D019B" w:rsidRDefault="001D019B">
      <w:pPr>
        <w:pStyle w:val="hfloat"/>
        <w:pBdr>
          <w:right w:val="single" w:sz="6" w:space="6" w:color="FFFFFF"/>
        </w:pBdr>
        <w:spacing w:after="0"/>
        <w:rPr>
          <w:sz w:val="24"/>
        </w:rPr>
      </w:pPr>
      <w:r>
        <w:rPr>
          <w:b/>
          <w:bCs/>
          <w:sz w:val="24"/>
        </w:rPr>
        <w:t>E. SERVICE</w:t>
      </w:r>
    </w:p>
    <w:p w14:paraId="2DE28CAF" w14:textId="77777777" w:rsidR="001D019B" w:rsidRDefault="001D019B">
      <w:pPr>
        <w:pStyle w:val="tparagraph"/>
        <w:pBdr>
          <w:right w:val="single" w:sz="6" w:space="6" w:color="FFFFFF"/>
        </w:pBdr>
        <w:rPr>
          <w:rFonts w:ascii="Arial" w:hAnsi="Arial" w:cs="Arial"/>
          <w:sz w:val="24"/>
        </w:rPr>
      </w:pPr>
      <w:r>
        <w:rPr>
          <w:rFonts w:ascii="Arial" w:hAnsi="Arial" w:cs="Arial"/>
          <w:sz w:val="24"/>
        </w:rPr>
        <w:t>The plaintiff’s address for service is [</w:t>
      </w:r>
      <w:r>
        <w:rPr>
          <w:rFonts w:ascii="Arial" w:hAnsi="Arial" w:cs="Arial"/>
          <w:i/>
          <w:iCs/>
          <w:sz w:val="24"/>
        </w:rPr>
        <w:t>address of plaintiff’s legal practitioner or of plaintiff</w:t>
      </w:r>
      <w:r>
        <w:rPr>
          <w:rFonts w:ascii="Arial" w:hAnsi="Arial" w:cs="Arial"/>
          <w:sz w:val="24"/>
        </w:rPr>
        <w:t xml:space="preserve">]. </w:t>
      </w:r>
    </w:p>
    <w:p w14:paraId="673BD496" w14:textId="77777777" w:rsidR="001D019B" w:rsidRDefault="001D019B">
      <w:pPr>
        <w:pStyle w:val="tparagraph"/>
        <w:pBdr>
          <w:right w:val="single" w:sz="6" w:space="6" w:color="FFFFFF"/>
        </w:pBdr>
        <w:rPr>
          <w:rFonts w:ascii="Arial" w:hAnsi="Arial" w:cs="Arial"/>
          <w:sz w:val="24"/>
        </w:rPr>
      </w:pPr>
      <w:r>
        <w:rPr>
          <w:rFonts w:ascii="Arial" w:hAnsi="Arial" w:cs="Arial"/>
          <w:sz w:val="24"/>
        </w:rPr>
        <w:t>*It is not intended to serve a copy of this originating process on any person.</w:t>
      </w:r>
    </w:p>
    <w:p w14:paraId="7D57757A" w14:textId="77777777" w:rsidR="001D019B" w:rsidRDefault="001D019B">
      <w:pPr>
        <w:pStyle w:val="tparagraph"/>
        <w:pBdr>
          <w:right w:val="single" w:sz="6" w:space="6" w:color="FFFFFF"/>
        </w:pBdr>
        <w:rPr>
          <w:rFonts w:ascii="Arial" w:hAnsi="Arial" w:cs="Arial"/>
          <w:i/>
          <w:iCs/>
          <w:sz w:val="24"/>
        </w:rPr>
      </w:pPr>
    </w:p>
    <w:p w14:paraId="1F42B43F" w14:textId="77777777" w:rsidR="001D019B" w:rsidRDefault="001D019B">
      <w:pPr>
        <w:pStyle w:val="tparagraph"/>
        <w:pBdr>
          <w:right w:val="single" w:sz="6" w:space="6" w:color="FFFFFF"/>
        </w:pBdr>
        <w:rPr>
          <w:rFonts w:ascii="Arial" w:hAnsi="Arial" w:cs="Arial"/>
          <w:sz w:val="24"/>
        </w:rPr>
      </w:pPr>
      <w:r>
        <w:rPr>
          <w:rFonts w:ascii="Arial" w:hAnsi="Arial" w:cs="Arial"/>
          <w:i/>
          <w:iCs/>
          <w:sz w:val="24"/>
        </w:rPr>
        <w:t>OR</w:t>
      </w:r>
    </w:p>
    <w:p w14:paraId="5D099027" w14:textId="77777777" w:rsidR="001D019B" w:rsidRDefault="001D019B">
      <w:pPr>
        <w:pStyle w:val="tparagraph"/>
        <w:pBdr>
          <w:right w:val="single" w:sz="6" w:space="6" w:color="FFFFFF"/>
        </w:pBdr>
        <w:rPr>
          <w:rFonts w:ascii="Arial" w:hAnsi="Arial" w:cs="Arial"/>
          <w:sz w:val="24"/>
        </w:rPr>
      </w:pPr>
    </w:p>
    <w:p w14:paraId="52EC1C02" w14:textId="77777777" w:rsidR="001D019B" w:rsidRDefault="001D019B">
      <w:pPr>
        <w:pStyle w:val="tparagraph"/>
        <w:pBdr>
          <w:right w:val="single" w:sz="6" w:space="6" w:color="FFFFFF"/>
        </w:pBdr>
        <w:rPr>
          <w:rFonts w:ascii="Arial" w:hAnsi="Arial" w:cs="Arial"/>
          <w:sz w:val="24"/>
        </w:rPr>
      </w:pPr>
      <w:r>
        <w:rPr>
          <w:rFonts w:ascii="Arial" w:hAnsi="Arial" w:cs="Arial"/>
          <w:sz w:val="24"/>
        </w:rPr>
        <w:t xml:space="preserve">*It is intended to serve a copy of this originating process on each defendant and on any person listed below: </w:t>
      </w:r>
    </w:p>
    <w:p w14:paraId="46FB4B86" w14:textId="77777777" w:rsidR="001D019B" w:rsidRDefault="001D019B">
      <w:pPr>
        <w:pBdr>
          <w:right w:val="single" w:sz="6" w:space="6" w:color="FFFFFF"/>
        </w:pBdr>
        <w:spacing w:after="200"/>
        <w:ind w:left="340" w:hanging="340"/>
        <w:rPr>
          <w:rFonts w:cs="Arial"/>
          <w:szCs w:val="20"/>
        </w:rPr>
      </w:pPr>
      <w:r>
        <w:rPr>
          <w:rFonts w:cs="Arial"/>
          <w:szCs w:val="20"/>
        </w:rPr>
        <w:t>[</w:t>
      </w:r>
      <w:r>
        <w:rPr>
          <w:rFonts w:cs="Arial"/>
          <w:i/>
          <w:iCs/>
          <w:szCs w:val="20"/>
        </w:rPr>
        <w:t>name of defendant and any other person on whom a copy of the originating process is to be served</w:t>
      </w:r>
      <w:r>
        <w:rPr>
          <w:rFonts w:cs="Arial"/>
          <w:szCs w:val="20"/>
        </w:rPr>
        <w:t>]</w:t>
      </w:r>
    </w:p>
    <w:p w14:paraId="318D2281" w14:textId="77777777" w:rsidR="001D019B" w:rsidRDefault="001D019B">
      <w:pPr>
        <w:pStyle w:val="tparagraph"/>
        <w:pBdr>
          <w:right w:val="single" w:sz="6" w:space="6" w:color="FFFFFF"/>
        </w:pBdr>
        <w:rPr>
          <w:rFonts w:ascii="Arial" w:hAnsi="Arial" w:cs="Arial"/>
          <w:sz w:val="24"/>
        </w:rPr>
      </w:pPr>
      <w:r>
        <w:rPr>
          <w:rFonts w:ascii="Arial" w:hAnsi="Arial" w:cs="Arial"/>
          <w:sz w:val="24"/>
        </w:rPr>
        <w:t>[</w:t>
      </w:r>
      <w:r>
        <w:rPr>
          <w:rFonts w:ascii="Arial" w:hAnsi="Arial" w:cs="Arial"/>
          <w:b/>
          <w:bCs/>
          <w:i/>
          <w:iCs/>
          <w:sz w:val="24"/>
        </w:rPr>
        <w:t>Complete the following section if the time for service has been abridged</w:t>
      </w:r>
      <w:r>
        <w:rPr>
          <w:rFonts w:ascii="Arial" w:hAnsi="Arial" w:cs="Arial"/>
          <w:sz w:val="24"/>
        </w:rPr>
        <w:t>]</w:t>
      </w:r>
    </w:p>
    <w:p w14:paraId="0E718C01" w14:textId="77777777" w:rsidR="001D019B" w:rsidRDefault="001D019B">
      <w:pPr>
        <w:pStyle w:val="tparagraph"/>
        <w:pBdr>
          <w:right w:val="single" w:sz="6" w:space="6" w:color="FFFFFF"/>
        </w:pBdr>
        <w:rPr>
          <w:rFonts w:ascii="Arial" w:hAnsi="Arial" w:cs="Arial"/>
          <w:sz w:val="24"/>
        </w:rPr>
      </w:pPr>
      <w:r>
        <w:rPr>
          <w:rFonts w:ascii="Arial" w:hAnsi="Arial" w:cs="Arial"/>
          <w:sz w:val="24"/>
        </w:rPr>
        <w:t>The time by which a copy of this originating process is to be served has been abridged by order made by [</w:t>
      </w:r>
      <w:r>
        <w:rPr>
          <w:rFonts w:ascii="Arial" w:hAnsi="Arial" w:cs="Arial"/>
          <w:i/>
          <w:iCs/>
          <w:sz w:val="24"/>
        </w:rPr>
        <w:t>name of Judge or other Court officer</w:t>
      </w:r>
      <w:r>
        <w:rPr>
          <w:rFonts w:ascii="Arial" w:hAnsi="Arial" w:cs="Arial"/>
          <w:sz w:val="24"/>
        </w:rPr>
        <w:t>] on [</w:t>
      </w:r>
      <w:r>
        <w:rPr>
          <w:rFonts w:ascii="Arial" w:hAnsi="Arial" w:cs="Arial"/>
          <w:i/>
          <w:iCs/>
          <w:sz w:val="24"/>
        </w:rPr>
        <w:t>date</w:t>
      </w:r>
      <w:r>
        <w:rPr>
          <w:rFonts w:ascii="Arial" w:hAnsi="Arial" w:cs="Arial"/>
          <w:sz w:val="24"/>
        </w:rPr>
        <w:t>] to [</w:t>
      </w:r>
      <w:r>
        <w:rPr>
          <w:rFonts w:ascii="Arial" w:hAnsi="Arial" w:cs="Arial"/>
          <w:i/>
          <w:iCs/>
          <w:sz w:val="24"/>
        </w:rPr>
        <w:t>time and date</w:t>
      </w:r>
      <w:r>
        <w:rPr>
          <w:rFonts w:ascii="Arial" w:hAnsi="Arial" w:cs="Arial"/>
          <w:sz w:val="24"/>
        </w:rPr>
        <w:t>].</w:t>
      </w:r>
    </w:p>
    <w:p w14:paraId="3514AD60" w14:textId="77777777" w:rsidR="001D019B" w:rsidRDefault="001D019B">
      <w:pPr>
        <w:pStyle w:val="tparagraph"/>
        <w:pBdr>
          <w:right w:val="single" w:sz="6" w:space="6" w:color="FFFFFF"/>
        </w:pBdr>
        <w:rPr>
          <w:rFonts w:ascii="Arial" w:hAnsi="Arial" w:cs="Arial"/>
          <w:sz w:val="24"/>
        </w:rPr>
      </w:pPr>
      <w:r>
        <w:rPr>
          <w:rFonts w:ascii="Arial" w:hAnsi="Arial" w:cs="Arial"/>
          <w:sz w:val="24"/>
        </w:rPr>
        <w:t xml:space="preserve">* </w:t>
      </w:r>
      <w:r>
        <w:rPr>
          <w:rFonts w:ascii="Arial" w:hAnsi="Arial" w:cs="Arial"/>
          <w:i/>
          <w:iCs/>
          <w:sz w:val="24"/>
        </w:rPr>
        <w:t>Omit if not applicable</w:t>
      </w:r>
    </w:p>
    <w:p w14:paraId="754BF963" w14:textId="77777777" w:rsidR="001D019B" w:rsidRDefault="001D019B">
      <w:pPr>
        <w:rPr>
          <w:rFonts w:cs="Arial"/>
        </w:rPr>
      </w:pPr>
    </w:p>
    <w:sectPr w:rsidR="001D019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A2CD2"/>
    <w:multiLevelType w:val="multilevel"/>
    <w:tmpl w:val="C15694FE"/>
    <w:lvl w:ilvl="0">
      <w:start w:val="1"/>
      <w:numFmt w:val="none"/>
      <w:lvlText w:val=""/>
      <w:lvlJc w:val="left"/>
      <w:pPr>
        <w:tabs>
          <w:tab w:val="num" w:pos="2880"/>
        </w:tabs>
        <w:ind w:left="2880" w:hanging="720"/>
      </w:pPr>
      <w:rPr>
        <w:rFonts w:hint="default"/>
        <w:b w:val="0"/>
        <w:i w:val="0"/>
      </w:rPr>
    </w:lvl>
    <w:lvl w:ilvl="1">
      <w:start w:val="1"/>
      <w:numFmt w:val="none"/>
      <w:lvlText w:val=""/>
      <w:lvlJc w:val="left"/>
      <w:pPr>
        <w:tabs>
          <w:tab w:val="num" w:pos="3600"/>
        </w:tabs>
        <w:ind w:left="3600" w:hanging="720"/>
      </w:pPr>
      <w:rPr>
        <w:rFonts w:hint="default"/>
      </w:rPr>
    </w:lvl>
    <w:lvl w:ilvl="2">
      <w:start w:val="1"/>
      <w:numFmt w:val="none"/>
      <w:lvlText w:val="%3"/>
      <w:lvlJc w:val="left"/>
      <w:pPr>
        <w:tabs>
          <w:tab w:val="num" w:pos="4320"/>
        </w:tabs>
        <w:ind w:left="4320" w:hanging="720"/>
      </w:pPr>
      <w:rPr>
        <w:rFonts w:hint="default"/>
      </w:rPr>
    </w:lvl>
    <w:lvl w:ilvl="3">
      <w:start w:val="1"/>
      <w:numFmt w:val="lowerLetter"/>
      <w:lvlText w:val="%4)"/>
      <w:lvlJc w:val="left"/>
      <w:pPr>
        <w:tabs>
          <w:tab w:val="num" w:pos="2160"/>
        </w:tabs>
        <w:ind w:left="5040" w:hanging="720"/>
      </w:pPr>
      <w:rPr>
        <w:rFonts w:hint="default"/>
      </w:rPr>
    </w:lvl>
    <w:lvl w:ilvl="4">
      <w:start w:val="1"/>
      <w:numFmt w:val="decimal"/>
      <w:lvlText w:val="%5"/>
      <w:lvlJc w:val="left"/>
      <w:pPr>
        <w:tabs>
          <w:tab w:val="num" w:pos="2160"/>
        </w:tabs>
        <w:ind w:left="5760" w:hanging="720"/>
      </w:pPr>
      <w:rPr>
        <w:rFonts w:hint="default"/>
      </w:rPr>
    </w:lvl>
    <w:lvl w:ilvl="5">
      <w:start w:val="1"/>
      <w:numFmt w:val="lowerLetter"/>
      <w:lvlText w:val="%6"/>
      <w:lvlJc w:val="left"/>
      <w:pPr>
        <w:tabs>
          <w:tab w:val="num" w:pos="2160"/>
        </w:tabs>
        <w:ind w:left="6480" w:hanging="720"/>
      </w:pPr>
      <w:rPr>
        <w:rFonts w:hint="default"/>
      </w:rPr>
    </w:lvl>
    <w:lvl w:ilvl="6">
      <w:start w:val="100"/>
      <w:numFmt w:val="decimal"/>
      <w:pStyle w:val="JudgmentParagraphAlt3"/>
      <w:lvlText w:val="%7"/>
      <w:lvlJc w:val="left"/>
      <w:pPr>
        <w:tabs>
          <w:tab w:val="num" w:pos="720"/>
        </w:tabs>
        <w:ind w:left="720" w:hanging="720"/>
      </w:pPr>
      <w:rPr>
        <w:rFonts w:ascii="Book Antiqua" w:hAnsi="Book Antiqua" w:hint="default"/>
        <w:b w:val="0"/>
        <w:i w:val="0"/>
      </w:rPr>
    </w:lvl>
    <w:lvl w:ilvl="7">
      <w:start w:val="1"/>
      <w:numFmt w:val="lowerLetter"/>
      <w:lvlText w:val="(%8)"/>
      <w:lvlJc w:val="left"/>
      <w:pPr>
        <w:tabs>
          <w:tab w:val="num" w:pos="2160"/>
        </w:tabs>
        <w:ind w:left="7920" w:hanging="720"/>
      </w:pPr>
      <w:rPr>
        <w:rFonts w:hint="default"/>
      </w:rPr>
    </w:lvl>
    <w:lvl w:ilvl="8">
      <w:start w:val="1"/>
      <w:numFmt w:val="lowerRoman"/>
      <w:lvlText w:val="(%9)"/>
      <w:lvlJc w:val="left"/>
      <w:pPr>
        <w:tabs>
          <w:tab w:val="num" w:pos="2160"/>
        </w:tabs>
        <w:ind w:left="8640" w:hanging="720"/>
      </w:pPr>
      <w:rPr>
        <w:rFonts w:hint="default"/>
      </w:rPr>
    </w:lvl>
  </w:abstractNum>
  <w:num w:numId="1" w16cid:durableId="527183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D52"/>
    <w:rsid w:val="001D019B"/>
    <w:rsid w:val="00B07D52"/>
    <w:rsid w:val="00DB19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2A59E4"/>
  <w15:chartTrackingRefBased/>
  <w15:docId w15:val="{3EEF1D7E-0E67-4705-8EAE-73205303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autoRedefine/>
    <w:qFormat/>
    <w:pPr>
      <w:spacing w:line="360" w:lineRule="auto"/>
      <w:jc w:val="both"/>
      <w:outlineLvl w:val="0"/>
    </w:pPr>
    <w:rPr>
      <w:rFonts w:ascii="Book Antiqua" w:hAnsi="Book Antiqua"/>
      <w:b/>
      <w:kern w:val="28"/>
      <w:szCs w:val="20"/>
    </w:rPr>
  </w:style>
  <w:style w:type="paragraph" w:styleId="Heading2">
    <w:name w:val="heading 2"/>
    <w:basedOn w:val="Normal"/>
    <w:qFormat/>
    <w:pPr>
      <w:keepNext/>
      <w:tabs>
        <w:tab w:val="left" w:pos="720"/>
      </w:tabs>
      <w:spacing w:line="360" w:lineRule="auto"/>
      <w:ind w:left="720"/>
      <w:jc w:val="both"/>
      <w:outlineLvl w:val="1"/>
    </w:pPr>
    <w:rPr>
      <w:rFonts w:ascii="Book Antiqua" w:hAnsi="Book Antiqua"/>
      <w:i/>
      <w:szCs w:val="20"/>
    </w:rPr>
  </w:style>
  <w:style w:type="paragraph" w:styleId="Heading3">
    <w:name w:val="heading 3"/>
    <w:basedOn w:val="Normal"/>
    <w:qFormat/>
    <w:pPr>
      <w:keepNext/>
      <w:spacing w:line="360" w:lineRule="auto"/>
      <w:ind w:left="1080"/>
      <w:outlineLvl w:val="2"/>
    </w:pPr>
    <w:rPr>
      <w:rFonts w:ascii="Book Antiqua" w:hAnsi="Book Antiqua"/>
      <w:i/>
      <w:szCs w:val="20"/>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gmentParagraphAlt3">
    <w:name w:val="Judgment Paragraph (Alt+3)"/>
    <w:basedOn w:val="Normal"/>
    <w:pPr>
      <w:numPr>
        <w:ilvl w:val="6"/>
        <w:numId w:val="1"/>
      </w:numPr>
      <w:spacing w:line="360" w:lineRule="auto"/>
      <w:jc w:val="both"/>
      <w:outlineLvl w:val="6"/>
    </w:pPr>
    <w:rPr>
      <w:rFonts w:ascii="Book Antiqua" w:hAnsi="Book Antiqua"/>
      <w:szCs w:val="20"/>
    </w:rPr>
  </w:style>
  <w:style w:type="paragraph" w:customStyle="1" w:styleId="tparagraph">
    <w:name w:val="tparagraph"/>
    <w:basedOn w:val="Normal"/>
    <w:rPr>
      <w:rFonts w:ascii="Times New Roman" w:eastAsia="Arial Unicode MS" w:hAnsi="Times New Roman"/>
      <w:sz w:val="20"/>
      <w:szCs w:val="20"/>
    </w:rPr>
  </w:style>
  <w:style w:type="paragraph" w:customStyle="1" w:styleId="note">
    <w:name w:val="note"/>
    <w:basedOn w:val="Normal"/>
    <w:pPr>
      <w:spacing w:before="160" w:after="200"/>
    </w:pPr>
    <w:rPr>
      <w:rFonts w:eastAsia="Arial Unicode MS" w:cs="Arial"/>
      <w:sz w:val="20"/>
      <w:szCs w:val="20"/>
    </w:rPr>
  </w:style>
  <w:style w:type="paragraph" w:customStyle="1" w:styleId="source">
    <w:name w:val="source"/>
    <w:basedOn w:val="Normal"/>
    <w:pPr>
      <w:spacing w:before="160" w:after="200"/>
      <w:ind w:right="160"/>
      <w:jc w:val="right"/>
    </w:pPr>
    <w:rPr>
      <w:rFonts w:eastAsia="Arial Unicode MS" w:cs="Arial"/>
      <w:sz w:val="16"/>
      <w:szCs w:val="16"/>
    </w:rPr>
  </w:style>
  <w:style w:type="paragraph" w:customStyle="1" w:styleId="hfloat">
    <w:name w:val="hfloat"/>
    <w:basedOn w:val="Normal"/>
    <w:pPr>
      <w:spacing w:after="200"/>
      <w:ind w:left="340" w:hanging="340"/>
    </w:pPr>
    <w:rPr>
      <w:rFonts w:eastAsia="Arial Unicode MS" w:cs="Arial"/>
      <w:sz w:val="16"/>
      <w:szCs w:val="16"/>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J Document" ma:contentTypeID="0x01010077DC2A28846341C9915EFC7988C44A4F0012F6434D7DB2954890BEF4AB09120471" ma:contentTypeVersion="2" ma:contentTypeDescription="" ma:contentTypeScope="" ma:versionID="5817a8b781cc76d2b089d2fdbf58d1d0">
  <xsd:schema xmlns:xsd="http://www.w3.org/2001/XMLSchema" xmlns:xs="http://www.w3.org/2001/XMLSchema" xmlns:p="http://schemas.microsoft.com/office/2006/metadata/properties" xmlns:ns3="78ceabd1-b973-4272-a749-19f2930e93ab" xmlns:ns4="87344c60-ab29-4a7d-a5aa-eac6cada4c44" targetNamespace="http://schemas.microsoft.com/office/2006/metadata/properties" ma:root="true" ma:fieldsID="27fff4491d7cccc3c68d4a92fce93de7" ns3:_="" ns4:_="">
    <xsd:import namespace="78ceabd1-b973-4272-a749-19f2930e93ab"/>
    <xsd:import namespace="87344c60-ab29-4a7d-a5aa-eac6cada4c44"/>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eabd1-b973-4272-a749-19f2930e93a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b37d10e-59b7-4628-af38-7a63eae7c994}" ma:internalName="TaxCatchAll" ma:showField="CatchAllData" ma:web="78ceabd1-b973-4272-a749-19f2930e93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344c60-ab29-4a7d-a5aa-eac6cada4c44"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8158a489a9473f9c54eecb4c21131b xmlns="87344c60-ab29-4a7d-a5aa-eac6cada4c44">
      <Terms xmlns="http://schemas.microsoft.com/office/infopath/2007/PartnerControls">
        <TermInfo xmlns="http://schemas.microsoft.com/office/infopath/2007/PartnerControls">
          <TermName xmlns="http://schemas.microsoft.com/office/infopath/2007/PartnerControls">Forms ＆ Fees</TermName>
          <TermId xmlns="http://schemas.microsoft.com/office/infopath/2007/PartnerControls">87a95720-8126-4013-879b-cf67844ef3a0</TermId>
        </TermInfo>
      </Terms>
    </ne8158a489a9473f9c54eecb4c21131b>
    <bc56bdda6a6a44c48d8cfdd96ad4c147 xmlns="87344c60-ab29-4a7d-a5aa-eac6cada4c4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78ceabd1-b973-4272-a749-19f2930e93ab">
      <Value>71</Value>
      <Value>13</Value>
    </TaxCatchAll>
  </documentManagement>
</p:properties>
</file>

<file path=customXml/itemProps1.xml><?xml version="1.0" encoding="utf-8"?>
<ds:datastoreItem xmlns:ds="http://schemas.openxmlformats.org/officeDocument/2006/customXml" ds:itemID="{08A3CB69-EECB-4634-A63D-08CB51DBB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eabd1-b973-4272-a749-19f2930e93ab"/>
    <ds:schemaRef ds:uri="87344c60-ab29-4a7d-a5aa-eac6cada4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A851B7-2F57-4763-AC01-336A7BEAD618}">
  <ds:schemaRefs>
    <ds:schemaRef ds:uri="http://schemas.microsoft.com/office/2006/metadata/longProperties"/>
  </ds:schemaRefs>
</ds:datastoreItem>
</file>

<file path=customXml/itemProps3.xml><?xml version="1.0" encoding="utf-8"?>
<ds:datastoreItem xmlns:ds="http://schemas.openxmlformats.org/officeDocument/2006/customXml" ds:itemID="{86486FBD-5F78-4926-8AC9-72AF438549E5}">
  <ds:schemaRefs>
    <ds:schemaRef ds:uri="http://schemas.microsoft.com/sharepoint/v3/contenttype/forms"/>
  </ds:schemaRefs>
</ds:datastoreItem>
</file>

<file path=customXml/itemProps4.xml><?xml version="1.0" encoding="utf-8"?>
<ds:datastoreItem xmlns:ds="http://schemas.openxmlformats.org/officeDocument/2006/customXml" ds:itemID="{55A22421-57BA-400C-82E2-71F7A2B2AE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Form 2 Originating process</vt:lpstr>
    </vt:vector>
  </TitlesOfParts>
  <Company>NSW Attorney General's Department</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Originating process</dc:title>
  <dc:subject/>
  <dc:creator>Saunthra  Thambyrajah</dc:creator>
  <cp:keywords/>
  <cp:lastModifiedBy>Christopher Winslow</cp:lastModifiedBy>
  <cp:revision>2</cp:revision>
  <dcterms:created xsi:type="dcterms:W3CDTF">2023-10-09T01:01:00Z</dcterms:created>
  <dcterms:modified xsi:type="dcterms:W3CDTF">2023-10-09T01:01:00Z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grationSourceURL">
    <vt:lpwstr>http://www.supremecourt.justice.nsw.gov.au/agdbasev7wr/supremecourt/documents/doc/form_2_originating_process.doc</vt:lpwstr>
  </property>
  <property fmtid="{D5CDD505-2E9C-101B-9397-08002B2CF9AE}" pid="3" name="display_urn:schemas-microsoft-com:office:office#Editor">
    <vt:lpwstr>Austen So</vt:lpwstr>
  </property>
  <property fmtid="{D5CDD505-2E9C-101B-9397-08002B2CF9AE}" pid="4" name="display_urn:schemas-microsoft-com:office:office#Author">
    <vt:lpwstr>Internal\SVCDAGJ-SPTSTFARM</vt:lpwstr>
  </property>
  <property fmtid="{D5CDD505-2E9C-101B-9397-08002B2CF9AE}" pid="5" name="ContentTypeId">
    <vt:lpwstr>0x01010077DC2A28846341C9915EFC7988C44A4F0012F6434D7DB2954890BEF4AB09120471</vt:lpwstr>
  </property>
  <property fmtid="{D5CDD505-2E9C-101B-9397-08002B2CF9AE}" pid="6" name="DC.Type.DocType (JSMS">
    <vt:lpwstr>71;#Form|cc8e9079-c541-4e2f-a366-14da2b1b1195</vt:lpwstr>
  </property>
  <property fmtid="{D5CDD505-2E9C-101B-9397-08002B2CF9AE}" pid="7" name="Content tags">
    <vt:lpwstr>13;#Forms ＆ Fees|87a95720-8126-4013-879b-cf67844ef3a0</vt:lpwstr>
  </property>
</Properties>
</file>